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63F5" w14:textId="77777777" w:rsidR="00F60804" w:rsidRDefault="00F60804" w:rsidP="00F60804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OKRUHY K PROFILOVÉ MATURITNÍ ZKOUŠCE</w:t>
      </w:r>
      <w:r>
        <w:rPr>
          <w:rFonts w:ascii="Calibri" w:hAnsi="Calibri"/>
          <w:color w:val="auto"/>
          <w:sz w:val="28"/>
          <w:szCs w:val="28"/>
        </w:rPr>
        <w:t xml:space="preserve"> - </w:t>
      </w:r>
      <w:r>
        <w:rPr>
          <w:rFonts w:ascii="Calibri" w:hAnsi="Calibri"/>
          <w:b/>
          <w:bCs/>
          <w:color w:val="auto"/>
          <w:sz w:val="28"/>
          <w:szCs w:val="28"/>
        </w:rPr>
        <w:t>školní rok 2022/2023</w:t>
      </w:r>
    </w:p>
    <w:p w14:paraId="6F246C1E" w14:textId="77777777" w:rsidR="00F60804" w:rsidRDefault="00F60804" w:rsidP="00F60804">
      <w:pPr>
        <w:pStyle w:val="Default"/>
        <w:rPr>
          <w:rFonts w:ascii="Calibri" w:hAnsi="Calibri"/>
          <w:color w:val="auto"/>
        </w:rPr>
      </w:pPr>
    </w:p>
    <w:p w14:paraId="6354AAFD" w14:textId="77777777" w:rsidR="00F60804" w:rsidRDefault="00F60804" w:rsidP="00F60804">
      <w:pPr>
        <w:pStyle w:val="Defaul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color w:val="auto"/>
        </w:rPr>
        <w:t xml:space="preserve">Předmět: </w:t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b/>
          <w:bCs/>
          <w:color w:val="auto"/>
        </w:rPr>
        <w:t>TECHNOLOGIE</w:t>
      </w:r>
    </w:p>
    <w:p w14:paraId="2C32B6AE" w14:textId="77777777" w:rsidR="00A144A7" w:rsidRDefault="00A144A7" w:rsidP="00F60804">
      <w:pPr>
        <w:pStyle w:val="Default"/>
        <w:rPr>
          <w:rFonts w:ascii="Calibri" w:hAnsi="Calibri"/>
          <w:color w:val="auto"/>
        </w:rPr>
      </w:pPr>
    </w:p>
    <w:p w14:paraId="4230A1EC" w14:textId="77777777" w:rsidR="00F60804" w:rsidRDefault="00F60804" w:rsidP="00F60804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  <w:bCs/>
          <w:color w:val="auto"/>
        </w:rPr>
        <w:t>Třída, obor:</w:t>
      </w:r>
      <w:r>
        <w:rPr>
          <w:rFonts w:ascii="Calibri" w:hAnsi="Calibri"/>
          <w:b/>
          <w:bCs/>
          <w:color w:val="auto"/>
        </w:rPr>
        <w:t xml:space="preserve"> </w:t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  <w:t>4. A</w:t>
      </w:r>
      <w:r>
        <w:rPr>
          <w:rFonts w:ascii="Calibri" w:hAnsi="Calibri"/>
          <w:color w:val="auto"/>
        </w:rPr>
        <w:t xml:space="preserve">, </w:t>
      </w:r>
      <w:r>
        <w:rPr>
          <w:rFonts w:ascii="Calibri" w:hAnsi="Calibri"/>
          <w:b/>
          <w:bCs/>
          <w:color w:val="auto"/>
        </w:rPr>
        <w:t>82-41-M/13 Výtvarné zpracování skla a světelných objektů</w:t>
      </w:r>
    </w:p>
    <w:p w14:paraId="5EC0B7CB" w14:textId="77777777" w:rsidR="00F60804" w:rsidRDefault="00F60804" w:rsidP="00F60804">
      <w:pPr>
        <w:spacing w:line="240" w:lineRule="auto"/>
        <w:rPr>
          <w:b/>
        </w:rPr>
      </w:pPr>
    </w:p>
    <w:p w14:paraId="2257D784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>Definice skla</w:t>
      </w:r>
    </w:p>
    <w:p w14:paraId="1EF3A498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 xml:space="preserve">Příprava sklářského kmene a vsázky </w:t>
      </w:r>
    </w:p>
    <w:p w14:paraId="03FE1332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 xml:space="preserve">Sklářské suroviny a jejich oxidy pro výrobu skla </w:t>
      </w:r>
    </w:p>
    <w:p w14:paraId="45330C94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  <w:i/>
        </w:rPr>
      </w:pPr>
      <w:r w:rsidRPr="005336FB">
        <w:rPr>
          <w:b/>
        </w:rPr>
        <w:t>Hlavní etapy tavícího procesu</w:t>
      </w:r>
    </w:p>
    <w:p w14:paraId="52765212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 xml:space="preserve">Tavící agregáty, pánvové pece </w:t>
      </w:r>
    </w:p>
    <w:p w14:paraId="2037613F" w14:textId="77777777" w:rsidR="00F60804" w:rsidRPr="005336FB" w:rsidRDefault="00F60804" w:rsidP="00F6080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336FB">
        <w:rPr>
          <w:b/>
        </w:rPr>
        <w:t>Žárovzdorné materiály ve sklářství</w:t>
      </w:r>
    </w:p>
    <w:p w14:paraId="079A6629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>Vady skloviny z tavícího procesu v členění</w:t>
      </w:r>
    </w:p>
    <w:p w14:paraId="494DF62E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>Hlavní principy a způsoby tvarování skla</w:t>
      </w:r>
    </w:p>
    <w:p w14:paraId="4EEA20E5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>Ruční tvarování skloviny</w:t>
      </w:r>
    </w:p>
    <w:p w14:paraId="06FCD766" w14:textId="77777777" w:rsidR="00F60804" w:rsidRPr="005336FB" w:rsidRDefault="00F60804" w:rsidP="00F60804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 xml:space="preserve">Výroba plochého skla </w:t>
      </w:r>
    </w:p>
    <w:p w14:paraId="2CE00E3E" w14:textId="77777777" w:rsidR="00F60804" w:rsidRPr="005336FB" w:rsidRDefault="00F60804" w:rsidP="00F60804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>Výroba skleněných vláken</w:t>
      </w:r>
    </w:p>
    <w:p w14:paraId="2A8F1E1E" w14:textId="77777777" w:rsidR="00F60804" w:rsidRPr="005336FB" w:rsidRDefault="00F60804" w:rsidP="00F60804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>Chlazení skla</w:t>
      </w:r>
    </w:p>
    <w:p w14:paraId="4F832436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>Prvotní opracování skla</w:t>
      </w:r>
    </w:p>
    <w:p w14:paraId="7511181C" w14:textId="35AD1864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 xml:space="preserve">Zušlechťování skla </w:t>
      </w:r>
      <w:r w:rsidR="00E02BF1" w:rsidRPr="005336FB">
        <w:rPr>
          <w:b/>
        </w:rPr>
        <w:t>–</w:t>
      </w:r>
      <w:r w:rsidRPr="005336FB">
        <w:rPr>
          <w:b/>
        </w:rPr>
        <w:t xml:space="preserve"> </w:t>
      </w:r>
      <w:r w:rsidR="00E02BF1" w:rsidRPr="005336FB">
        <w:rPr>
          <w:b/>
        </w:rPr>
        <w:t>broušení, rytí, leptání</w:t>
      </w:r>
    </w:p>
    <w:p w14:paraId="2BD6EAFA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>Zušlechťování skla - malba</w:t>
      </w:r>
    </w:p>
    <w:p w14:paraId="6F013596" w14:textId="77777777" w:rsidR="00F60804" w:rsidRPr="005336FB" w:rsidRDefault="00F60804" w:rsidP="00F60804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>Viskozita</w:t>
      </w:r>
      <w:bookmarkStart w:id="0" w:name="_GoBack"/>
      <w:bookmarkEnd w:id="0"/>
    </w:p>
    <w:p w14:paraId="1C71A13F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 xml:space="preserve">Bezpečnost práce a ochrana zdraví při výrobě a zpracování skloviny </w:t>
      </w:r>
    </w:p>
    <w:p w14:paraId="4E43BB23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</w:rPr>
        <w:t xml:space="preserve">Tvarování hutního skla </w:t>
      </w:r>
    </w:p>
    <w:p w14:paraId="176F11F9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  <w:iCs/>
        </w:rPr>
      </w:pPr>
      <w:r w:rsidRPr="005336FB">
        <w:rPr>
          <w:b/>
        </w:rPr>
        <w:t xml:space="preserve">Broušení skla a </w:t>
      </w:r>
      <w:r w:rsidRPr="005336FB">
        <w:rPr>
          <w:b/>
          <w:iCs/>
        </w:rPr>
        <w:t>leštění skla</w:t>
      </w:r>
    </w:p>
    <w:p w14:paraId="1B113249" w14:textId="77777777" w:rsidR="00F60804" w:rsidRPr="005336FB" w:rsidRDefault="00F60804" w:rsidP="00F60804">
      <w:pPr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  <w:iCs/>
        </w:rPr>
        <w:t>Pískování a rytí skla</w:t>
      </w:r>
    </w:p>
    <w:p w14:paraId="7DC2D02A" w14:textId="77777777" w:rsidR="00F60804" w:rsidRPr="005336FB" w:rsidRDefault="00F60804" w:rsidP="00F60804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right="57"/>
        <w:jc w:val="both"/>
        <w:rPr>
          <w:b/>
          <w:bCs/>
        </w:rPr>
      </w:pPr>
      <w:r w:rsidRPr="005336FB">
        <w:rPr>
          <w:b/>
          <w:bCs/>
        </w:rPr>
        <w:t>Malba skla</w:t>
      </w:r>
    </w:p>
    <w:p w14:paraId="35B8DD8F" w14:textId="77777777" w:rsidR="00F60804" w:rsidRPr="005336FB" w:rsidRDefault="00F60804" w:rsidP="00F60804">
      <w:pPr>
        <w:pStyle w:val="Odstavecseseznamem"/>
        <w:numPr>
          <w:ilvl w:val="0"/>
          <w:numId w:val="1"/>
        </w:numPr>
        <w:spacing w:before="120" w:after="120" w:line="240" w:lineRule="auto"/>
        <w:ind w:right="57"/>
        <w:jc w:val="both"/>
        <w:rPr>
          <w:b/>
        </w:rPr>
      </w:pPr>
      <w:r w:rsidRPr="005336FB">
        <w:rPr>
          <w:b/>
          <w:bCs/>
        </w:rPr>
        <w:t xml:space="preserve">Malba skla drahými kovy a </w:t>
      </w:r>
      <w:proofErr w:type="spellStart"/>
      <w:r w:rsidRPr="005336FB">
        <w:rPr>
          <w:b/>
          <w:bCs/>
        </w:rPr>
        <w:t>hydroglazurami</w:t>
      </w:r>
      <w:proofErr w:type="spellEnd"/>
      <w:r w:rsidRPr="005336FB">
        <w:rPr>
          <w:b/>
        </w:rPr>
        <w:t xml:space="preserve"> </w:t>
      </w:r>
    </w:p>
    <w:p w14:paraId="10188BFF" w14:textId="77777777" w:rsidR="00F60804" w:rsidRDefault="00F60804" w:rsidP="00F60804">
      <w:pPr>
        <w:ind w:firstLine="360"/>
        <w:jc w:val="both"/>
        <w:rPr>
          <w:sz w:val="20"/>
          <w:szCs w:val="20"/>
        </w:rPr>
      </w:pPr>
    </w:p>
    <w:p w14:paraId="18BF6F56" w14:textId="7C0AD901" w:rsidR="00F60804" w:rsidRDefault="00F60804" w:rsidP="00F6080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Ve Valašském Meziříčí dne 30. září 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Zpracoval:</w:t>
      </w:r>
      <w:r>
        <w:rPr>
          <w:sz w:val="20"/>
          <w:szCs w:val="20"/>
        </w:rPr>
        <w:tab/>
        <w:t>Ing. Jiří Tesař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1EE47A" w14:textId="5BCC7FED" w:rsidR="00F60804" w:rsidRDefault="00F60804" w:rsidP="00F60804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Schválil: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Jiří Pivovarčík, ředitel školy</w:t>
      </w:r>
    </w:p>
    <w:p w14:paraId="6168F027" w14:textId="77777777" w:rsidR="00D77502" w:rsidRDefault="00D77502"/>
    <w:sectPr w:rsidR="00D77502" w:rsidSect="00C24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A714C" w14:textId="77777777" w:rsidR="002776A1" w:rsidRDefault="002776A1" w:rsidP="00B45738">
      <w:pPr>
        <w:spacing w:after="0" w:line="240" w:lineRule="auto"/>
      </w:pPr>
      <w:r>
        <w:separator/>
      </w:r>
    </w:p>
  </w:endnote>
  <w:endnote w:type="continuationSeparator" w:id="0">
    <w:p w14:paraId="755F89D4" w14:textId="77777777" w:rsidR="002776A1" w:rsidRDefault="002776A1" w:rsidP="00B4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94AF" w14:textId="77777777" w:rsidR="00C24775" w:rsidRDefault="00C247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E1036" w14:textId="46DE3987" w:rsidR="00D2507F" w:rsidRDefault="00A765EF">
    <w:r>
      <w:rPr>
        <w:rFonts w:ascii="Catamaran-Bold" w:hAnsi="Catamaran-Bold" w:cs="Catamaran-Bold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B76AFCF" wp14:editId="3AB3C4A8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7F3AE" w14:textId="7E741889" w:rsidR="00D2507F" w:rsidRDefault="00D2507F"/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2A0408" w14:paraId="1B7BA32D" w14:textId="77777777" w:rsidTr="00A765EF">
      <w:trPr>
        <w:trHeight w:val="324"/>
      </w:trPr>
      <w:tc>
        <w:tcPr>
          <w:tcW w:w="2423" w:type="dxa"/>
        </w:tcPr>
        <w:p w14:paraId="6A569AC3" w14:textId="6E66B956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14:paraId="32813097" w14:textId="49E408D6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14:paraId="0A0C4114" w14:textId="4D76AB83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14:paraId="62AE6570" w14:textId="7684A271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14:paraId="5FA7DD42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14:paraId="26BE6590" w14:textId="3E4080B6" w:rsidR="00E80E2E" w:rsidRDefault="002776A1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14:paraId="45295702" w14:textId="77777777" w:rsidR="00E80E2E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14:paraId="5776704C" w14:textId="06DCA919" w:rsidR="00E80E2E" w:rsidRPr="00E80E2E" w:rsidRDefault="002776A1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14:paraId="155A61D2" w14:textId="5FCACCAE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14:paraId="0B4DEC13" w14:textId="37C8BBDF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14:paraId="75BF020D" w14:textId="2B0D185F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14:paraId="6E451C34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14:paraId="34C91093" w14:textId="734BF1EE" w:rsidR="00D2507F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</w:t>
          </w:r>
          <w:r w:rsidR="00D2507F">
            <w:rPr>
              <w:rFonts w:ascii="Catamaran-Bold" w:hAnsi="Catamaran-Bold" w:cs="Catamaran-Bold"/>
              <w:sz w:val="16"/>
              <w:szCs w:val="16"/>
            </w:rPr>
            <w:t>í</w:t>
          </w:r>
        </w:p>
        <w:p w14:paraId="13B65BC1" w14:textId="77777777" w:rsidR="00E80E2E" w:rsidRDefault="00D2507F" w:rsidP="00B45738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14:paraId="3BBEA2E3" w14:textId="3B5C0E9E" w:rsidR="00D2507F" w:rsidRPr="00D2507F" w:rsidRDefault="00D2507F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C24775">
            <w:rPr>
              <w:rFonts w:ascii="Arial" w:hAnsi="Arial" w:cs="Arial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14:paraId="241707DB" w14:textId="53D4D2D1" w:rsidR="002A0408" w:rsidRPr="002A0408" w:rsidRDefault="002A0408" w:rsidP="00B45738">
    <w:pPr>
      <w:pStyle w:val="Zpat"/>
      <w:rPr>
        <w:rFonts w:ascii="Catamaran-Bold" w:hAnsi="Catamaran-Bold" w:cs="Catamaran-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26CB" w14:textId="77777777" w:rsidR="00C24775" w:rsidRDefault="00C247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068C5" w14:textId="77777777" w:rsidR="002776A1" w:rsidRDefault="002776A1" w:rsidP="00B45738">
      <w:pPr>
        <w:spacing w:after="0" w:line="240" w:lineRule="auto"/>
      </w:pPr>
      <w:r>
        <w:separator/>
      </w:r>
    </w:p>
  </w:footnote>
  <w:footnote w:type="continuationSeparator" w:id="0">
    <w:p w14:paraId="6006736A" w14:textId="77777777" w:rsidR="002776A1" w:rsidRDefault="002776A1" w:rsidP="00B4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0E41" w14:textId="77777777" w:rsidR="00C24775" w:rsidRDefault="00C247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11A3" w14:textId="174B7C0D" w:rsidR="00D77502" w:rsidRDefault="00C62ED7" w:rsidP="00040CFF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45E2ACA7" wp14:editId="0D345A91">
          <wp:simplePos x="0" y="0"/>
          <wp:positionH relativeFrom="margin">
            <wp:align>left</wp:align>
          </wp:positionH>
          <wp:positionV relativeFrom="paragraph">
            <wp:posOffset>-493395</wp:posOffset>
          </wp:positionV>
          <wp:extent cx="3726000" cy="428400"/>
          <wp:effectExtent l="0" t="0" r="0" b="0"/>
          <wp:wrapTight wrapText="bothSides">
            <wp:wrapPolygon edited="0">
              <wp:start x="442" y="0"/>
              <wp:lineTo x="0" y="3846"/>
              <wp:lineTo x="0" y="16344"/>
              <wp:lineTo x="442" y="20190"/>
              <wp:lineTo x="1878" y="20190"/>
              <wp:lineTo x="10382" y="19228"/>
              <wp:lineTo x="10272" y="15383"/>
              <wp:lineTo x="21427" y="9614"/>
              <wp:lineTo x="21427" y="961"/>
              <wp:lineTo x="1878" y="0"/>
              <wp:lineTo x="442" y="0"/>
            </wp:wrapPolygon>
          </wp:wrapTight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w16se="http://schemas.microsoft.com/office/word/2015/wordml/sym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AC5B" w14:textId="066D26EB" w:rsidR="00D77502" w:rsidRDefault="00D775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436DD" w14:textId="77777777" w:rsidR="00C24775" w:rsidRDefault="00C247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E733E"/>
    <w:multiLevelType w:val="hybridMultilevel"/>
    <w:tmpl w:val="489CE520"/>
    <w:lvl w:ilvl="0" w:tplc="BB5082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8"/>
    <w:rsid w:val="00040CFF"/>
    <w:rsid w:val="00090B7E"/>
    <w:rsid w:val="002776A1"/>
    <w:rsid w:val="002A0408"/>
    <w:rsid w:val="002D5A82"/>
    <w:rsid w:val="00354711"/>
    <w:rsid w:val="005336FB"/>
    <w:rsid w:val="006274F5"/>
    <w:rsid w:val="00647DA4"/>
    <w:rsid w:val="007B112A"/>
    <w:rsid w:val="007B1283"/>
    <w:rsid w:val="008D4BD3"/>
    <w:rsid w:val="00A144A7"/>
    <w:rsid w:val="00A765EF"/>
    <w:rsid w:val="00B45738"/>
    <w:rsid w:val="00BD1765"/>
    <w:rsid w:val="00BF5BE1"/>
    <w:rsid w:val="00C16150"/>
    <w:rsid w:val="00C24775"/>
    <w:rsid w:val="00C44537"/>
    <w:rsid w:val="00C62ED7"/>
    <w:rsid w:val="00CA3D77"/>
    <w:rsid w:val="00D05AF0"/>
    <w:rsid w:val="00D2507F"/>
    <w:rsid w:val="00D77502"/>
    <w:rsid w:val="00E02BF1"/>
    <w:rsid w:val="00E34231"/>
    <w:rsid w:val="00E80E2E"/>
    <w:rsid w:val="00F25C00"/>
    <w:rsid w:val="00F60804"/>
    <w:rsid w:val="00FB5266"/>
    <w:rsid w:val="00FE502F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6917"/>
  <w15:chartTrackingRefBased/>
  <w15:docId w15:val="{0670B9C5-9B1F-43B6-AB90-F15CA39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738"/>
  </w:style>
  <w:style w:type="paragraph" w:styleId="Zpat">
    <w:name w:val="footer"/>
    <w:basedOn w:val="Normln"/>
    <w:link w:val="Zpat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738"/>
  </w:style>
  <w:style w:type="character" w:styleId="Hypertextovodkaz">
    <w:name w:val="Hyperlink"/>
    <w:basedOn w:val="Standardnpsmoodstavce"/>
    <w:uiPriority w:val="99"/>
    <w:unhideWhenUsed/>
    <w:rsid w:val="00B457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D77502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ca-E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77502"/>
    <w:rPr>
      <w:rFonts w:ascii="Calibri" w:eastAsia="Calibri" w:hAnsi="Calibri" w:cs="Calibri"/>
      <w:sz w:val="24"/>
      <w:szCs w:val="24"/>
      <w:lang w:val="ca-ES"/>
    </w:rPr>
  </w:style>
  <w:style w:type="table" w:styleId="Mkatabulky">
    <w:name w:val="Table Grid"/>
    <w:basedOn w:val="Normlntabulka"/>
    <w:uiPriority w:val="39"/>
    <w:rsid w:val="002A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0804"/>
    <w:pPr>
      <w:ind w:left="720"/>
      <w:contextualSpacing/>
    </w:pPr>
  </w:style>
  <w:style w:type="paragraph" w:customStyle="1" w:styleId="Default">
    <w:name w:val="Default"/>
    <w:rsid w:val="00F60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Brózdová Adéla</dc:creator>
  <cp:keywords/>
  <dc:description/>
  <cp:lastModifiedBy>Plšková Markéta</cp:lastModifiedBy>
  <cp:revision>6</cp:revision>
  <dcterms:created xsi:type="dcterms:W3CDTF">2022-08-31T10:18:00Z</dcterms:created>
  <dcterms:modified xsi:type="dcterms:W3CDTF">2022-10-25T09:17:00Z</dcterms:modified>
</cp:coreProperties>
</file>